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202</w:t>
      </w:r>
    </w:p>
    <w:p>
      <w:r>
        <w:t>Bundesgericht (BGE), 1997-12-05, DE</w:t>
      </w:r>
    </w:p>
    <w:p>
      <w:r>
        <w:rPr>
          <w:b/>
        </w:rPr>
        <w:t xml:space="preserve">Quelle: </w:t>
      </w:r>
      <w:r>
        <w:t>https://mcp.opencaselaw.ch/entscheid/bge_123 IV 202</w:t>
      </w:r>
    </w:p>
    <w:p>
      <w:r>
        <w:t>FR: ATF 123 IV 202</w:t>
      </w:r>
    </w:p>
    <w:p>
      <w:r>
        <w:t>IT: DTF 123 IV 202</w:t>
      </w:r>
    </w:p>
    <w:p>
      <w:pPr>
        <w:pStyle w:val="Heading2"/>
      </w:pPr>
      <w:r>
        <w:t>Regeste</w:t>
      </w:r>
    </w:p>
    <w:p>
      <w:r>
        <w:t>Regeste Art. 261bis Abs. 1 StGB und 4 StGB; Rassendiskriminierung. Der Tatbestand schützt die Würde des Einzelnen in seiner Eigenschaft als Angehöriger einer Rasse, Ethnie oder Religion. Strafbar macht sich, wer jemanden wegen einer zugeschriebenen Rasse, Ethnie oder Religion diskriminiert, unabhängig davon, ob solche Eigenschaften tatsächlich bestehen (E. 3a). "Aufrufen" ist auch als "aufreizen" zu verstehen (E. 3b). Als öffentlich gilt insbesondere, was sich an einen grossen Adressatenkreis richtet (E. 3d). Subjektiv setzt der Tatbestand vorsätzliches Handeln aus rassendiskriminierenden Beweggründen voraus (E. 4c).</w:t>
      </w:r>
    </w:p>
    <w:p>
      <w:pPr>
        <w:pStyle w:val="Heading2"/>
      </w:pPr>
      <w:r>
        <w:t>Erwägungen</w:t>
      </w:r>
    </w:p>
    <w:p>
      <w:r>
        <w:rPr>
          <w:b/>
        </w:rPr>
        <w:t>E. 1</w:t>
      </w:r>
    </w:p>
    <w:p>
      <w:r>
        <w:t>Die Nichtigkeitsbeschwerde ist ein kassatorisches Rechtsmittel ( Art. 277ter BStP ). Bei Gutheissung wird daher das Urteil aufgehoben und die Sache an die Vorinstanz zurückgewiesen. Auf den Antrag ist in diesem Sinne einzutreten. Die Nichtigkeitsbeschwerde kann nur damit begründet werden, dass die angefochtene Entscheidung Bundesrecht verletze ( Art. 269 BStP ). Ausführungen, die sich gegen die tatsächlichen Feststellungen des Entscheids richten, das Vorbringen neuer Tatsachen, neue Einreden, Bestreitungen und Beweismittel sowie Erörterungen über BGE 123 IV 202 S. 205 die Verletzung kantonalen Rechts sind unzulässig ( Art. 273 BStP ). Was jemand weiss, will oder womit er einverstanden war, ist als Tatfrage im Rahmen der Nichtigkeitsbeschwerde prinzipiell nicht überprüfbar ( Art. 277bis BStP ; BGE 122 IV 156 E. 2b). Daher ist nicht einzutreten, soweit der Beschwerdeführer der Vorsatzannahme zugrundeliegende innere Tatsachen bestreitet und soweit er sich im Strafpunkt gegen tatsächliche Feststellungen richtet. Weiter kann der Beschwerdeführer nur geltend machen, seine Verurteilung verletze Bundesrecht, nicht aber, es hätten noch andere Personen in die Strafuntersuchung einbezogen werden müssen.</w:t>
      </w:r>
    </w:p>
    <w:p>
      <w:r>
        <w:rPr>
          <w:b/>
        </w:rPr>
        <w:t>E. 2</w:t>
      </w:r>
    </w:p>
    <w:p>
      <w:r>
        <w:t>wer öffentlich Ideologien verbreitet, die auf die systematische Herabsetzung oder Verleumdung der Angehörigen einer Rasse, Ethnie oder Religion gerichtet sind,</w:t>
      </w:r>
    </w:p>
    <w:p>
      <w:r>
        <w:rPr>
          <w:b/>
        </w:rPr>
        <w:t>E. 3</w:t>
      </w:r>
    </w:p>
    <w:p>
      <w:r>
        <w:t>wer mit dem gleichen Ziel Propagandaaktionen organisiert, fördert oder daran teilnimmt,</w:t>
      </w:r>
    </w:p>
    <w:p>
      <w:r>
        <w:rPr>
          <w:b/>
        </w:rPr>
        <w:t>E. 4</w:t>
      </w:r>
    </w:p>
    <w:p>
      <w:r>
        <w:t>wer (1) öffentlich durch Wort, Schrift, Bild, Gebärden, Tätlichkeiten oder in anderer Weise eine Person oder eine Gruppe von Personen wegen ihrer Rasse, Ethnie oder Religion in einer gegen die Menschenwürde verstossenden BGE 123 IV 202 S. 206 Weise herabsetzt oder diskriminiert oder (2) aus einem dieser Gründe Völkermord oder andere Verbrechen gegen die Menschlichkeit leugnet, gröblich verharmlost oder zu rechtfertigen sucht,</w:t>
      </w:r>
    </w:p>
    <w:p>
      <w:r>
        <w:rPr>
          <w:b/>
        </w:rPr>
        <w:t>E. 5</w:t>
      </w:r>
    </w:p>
    <w:p>
      <w:r>
        <w:t>Die Nichtigkeitsbeschwerde wird kostenpflichtig abgewiesen, soweit darauf eingetreten wird. Damit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